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AF6E" w14:textId="77777777" w:rsidR="000468EF" w:rsidRPr="00FD198A" w:rsidRDefault="000468EF" w:rsidP="000468EF">
      <w:pPr>
        <w:shd w:val="clear" w:color="auto" w:fill="FEFEFE"/>
        <w:spacing w:before="100" w:beforeAutospacing="1" w:after="100" w:afterAutospacing="1"/>
        <w:outlineLvl w:val="0"/>
        <w:rPr>
          <w:rFonts w:ascii="Arial" w:hAnsi="Arial" w:cs="Arial"/>
          <w:color w:val="252525"/>
          <w:kern w:val="36"/>
          <w:sz w:val="48"/>
          <w:szCs w:val="48"/>
        </w:rPr>
      </w:pPr>
      <w:r w:rsidRPr="00FD198A">
        <w:rPr>
          <w:rFonts w:ascii="Arial" w:hAnsi="Arial" w:cs="Arial"/>
          <w:noProof/>
          <w:color w:val="3E9CB9"/>
        </w:rPr>
        <w:drawing>
          <wp:inline distT="0" distB="0" distL="0" distR="0" wp14:anchorId="29EBC91C" wp14:editId="558EEEEB">
            <wp:extent cx="1428750" cy="323850"/>
            <wp:effectExtent l="0" t="0" r="0" b="0"/>
            <wp:docPr id="4" name="Picture 4" descr="Primary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323850"/>
                    </a:xfrm>
                    <a:prstGeom prst="rect">
                      <a:avLst/>
                    </a:prstGeom>
                    <a:noFill/>
                    <a:ln>
                      <a:noFill/>
                    </a:ln>
                  </pic:spPr>
                </pic:pic>
              </a:graphicData>
            </a:graphic>
          </wp:inline>
        </w:drawing>
      </w:r>
    </w:p>
    <w:p w14:paraId="6C1D7AE2" w14:textId="320920C4" w:rsidR="00CD2427" w:rsidRPr="00FD198A" w:rsidRDefault="00CD2427" w:rsidP="000468EF">
      <w:pPr>
        <w:shd w:val="clear" w:color="auto" w:fill="FEFEFE"/>
        <w:rPr>
          <w:rFonts w:ascii="Arial" w:hAnsi="Arial" w:cs="Arial"/>
          <w:color w:val="252525"/>
          <w:kern w:val="36"/>
        </w:rPr>
      </w:pPr>
      <w:bookmarkStart w:id="0" w:name="_Hlk155541743"/>
      <w:r w:rsidRPr="00FD198A">
        <w:rPr>
          <w:rFonts w:ascii="Arial" w:hAnsi="Arial" w:cs="Arial"/>
          <w:color w:val="252525"/>
          <w:kern w:val="36"/>
          <w:sz w:val="48"/>
          <w:szCs w:val="48"/>
        </w:rPr>
        <w:t xml:space="preserve">Tiziana Life Sciences Announces </w:t>
      </w:r>
      <w:bookmarkEnd w:id="0"/>
      <w:r w:rsidR="00502EFD">
        <w:rPr>
          <w:rFonts w:ascii="Arial" w:hAnsi="Arial" w:cs="Arial"/>
          <w:color w:val="252525"/>
          <w:kern w:val="36"/>
          <w:sz w:val="48"/>
          <w:szCs w:val="48"/>
        </w:rPr>
        <w:t xml:space="preserve">Podium </w:t>
      </w:r>
      <w:r w:rsidR="0084229C">
        <w:rPr>
          <w:rFonts w:ascii="Arial" w:hAnsi="Arial" w:cs="Arial"/>
          <w:color w:val="252525"/>
          <w:kern w:val="36"/>
          <w:sz w:val="48"/>
          <w:szCs w:val="48"/>
        </w:rPr>
        <w:t>Presentation</w:t>
      </w:r>
      <w:r w:rsidR="00F65382">
        <w:rPr>
          <w:rFonts w:ascii="Arial" w:hAnsi="Arial" w:cs="Arial"/>
          <w:color w:val="252525"/>
          <w:kern w:val="36"/>
          <w:sz w:val="48"/>
          <w:szCs w:val="48"/>
        </w:rPr>
        <w:t xml:space="preserve"> at AD/PD</w:t>
      </w:r>
      <w:r w:rsidR="0084229C">
        <w:rPr>
          <w:rFonts w:ascii="Arial" w:hAnsi="Arial" w:cs="Arial"/>
          <w:color w:val="252525"/>
          <w:kern w:val="36"/>
          <w:sz w:val="48"/>
          <w:szCs w:val="48"/>
        </w:rPr>
        <w:t xml:space="preserve"> </w:t>
      </w:r>
      <w:r w:rsidR="00C75CC0">
        <w:rPr>
          <w:rFonts w:ascii="Arial" w:hAnsi="Arial" w:cs="Arial"/>
          <w:color w:val="252525"/>
          <w:kern w:val="36"/>
          <w:sz w:val="48"/>
          <w:szCs w:val="48"/>
        </w:rPr>
        <w:t xml:space="preserve">of </w:t>
      </w:r>
      <w:r w:rsidR="00E51947">
        <w:rPr>
          <w:rFonts w:ascii="Arial" w:hAnsi="Arial" w:cs="Arial"/>
          <w:color w:val="252525"/>
          <w:kern w:val="36"/>
          <w:sz w:val="48"/>
          <w:szCs w:val="48"/>
        </w:rPr>
        <w:t xml:space="preserve">Nasal </w:t>
      </w:r>
      <w:r w:rsidR="00913742">
        <w:rPr>
          <w:rFonts w:ascii="Arial" w:hAnsi="Arial" w:cs="Arial"/>
          <w:color w:val="252525"/>
          <w:kern w:val="36"/>
          <w:sz w:val="48"/>
          <w:szCs w:val="48"/>
        </w:rPr>
        <w:t>A</w:t>
      </w:r>
      <w:r w:rsidR="00E51947">
        <w:rPr>
          <w:rFonts w:ascii="Arial" w:hAnsi="Arial" w:cs="Arial"/>
          <w:color w:val="252525"/>
          <w:kern w:val="36"/>
          <w:sz w:val="48"/>
          <w:szCs w:val="48"/>
        </w:rPr>
        <w:t>nti-CD3</w:t>
      </w:r>
      <w:r w:rsidR="005D0EC8">
        <w:rPr>
          <w:rFonts w:ascii="Arial" w:hAnsi="Arial" w:cs="Arial"/>
          <w:color w:val="252525"/>
          <w:kern w:val="36"/>
          <w:sz w:val="48"/>
          <w:szCs w:val="48"/>
        </w:rPr>
        <w:t xml:space="preserve"> in Alzheimer’s Disease</w:t>
      </w:r>
    </w:p>
    <w:p w14:paraId="5291CC6D" w14:textId="77777777" w:rsidR="000468EF" w:rsidRDefault="000468EF" w:rsidP="000468EF">
      <w:pPr>
        <w:shd w:val="clear" w:color="auto" w:fill="FEFEFE"/>
        <w:rPr>
          <w:rFonts w:ascii="Arial" w:hAnsi="Arial" w:cs="Arial"/>
          <w:b/>
          <w:bCs/>
          <w:color w:val="252525"/>
        </w:rPr>
      </w:pPr>
    </w:p>
    <w:p w14:paraId="24DC14E3" w14:textId="77777777" w:rsidR="002A7D2D" w:rsidRDefault="002A7D2D" w:rsidP="000468EF">
      <w:pPr>
        <w:rPr>
          <w:rFonts w:ascii="Arial" w:hAnsi="Arial" w:cs="Arial"/>
          <w:color w:val="252525"/>
        </w:rPr>
      </w:pPr>
    </w:p>
    <w:p w14:paraId="42459ED1" w14:textId="77777777" w:rsidR="008C4657" w:rsidRDefault="008C4657" w:rsidP="008C4657">
      <w:pPr>
        <w:pStyle w:val="ListParagraph"/>
        <w:numPr>
          <w:ilvl w:val="0"/>
          <w:numId w:val="1"/>
        </w:numPr>
        <w:rPr>
          <w:rFonts w:ascii="Arial" w:hAnsi="Arial" w:cs="Arial"/>
          <w:b/>
          <w:bCs/>
          <w:color w:val="252525"/>
        </w:rPr>
      </w:pPr>
      <w:r w:rsidRPr="008C4657">
        <w:rPr>
          <w:rFonts w:ascii="Arial" w:hAnsi="Arial" w:cs="Arial"/>
          <w:b/>
          <w:bCs/>
          <w:color w:val="252525"/>
        </w:rPr>
        <w:t>Data shows reduction of microglia activation and improvement in behavior in rodent models of Alzheimer’s disease (AD) and Parkinson’s disease (PD)</w:t>
      </w:r>
    </w:p>
    <w:p w14:paraId="20F08BD6" w14:textId="77777777" w:rsidR="00D9556D" w:rsidRDefault="00D9556D" w:rsidP="00D9556D">
      <w:pPr>
        <w:pStyle w:val="ListParagraph"/>
        <w:rPr>
          <w:rFonts w:ascii="Arial" w:hAnsi="Arial" w:cs="Arial"/>
          <w:b/>
          <w:bCs/>
          <w:color w:val="252525"/>
        </w:rPr>
      </w:pPr>
    </w:p>
    <w:p w14:paraId="5CC5E464" w14:textId="3D14FABB" w:rsidR="001432D1" w:rsidRDefault="008F6FFE" w:rsidP="002A7D2D">
      <w:pPr>
        <w:numPr>
          <w:ilvl w:val="0"/>
          <w:numId w:val="1"/>
        </w:numPr>
        <w:shd w:val="clear" w:color="auto" w:fill="FEFEFE"/>
        <w:spacing w:after="160" w:line="259" w:lineRule="auto"/>
        <w:rPr>
          <w:rFonts w:ascii="Arial" w:hAnsi="Arial" w:cs="Arial"/>
          <w:b/>
          <w:bCs/>
          <w:color w:val="252525"/>
        </w:rPr>
      </w:pPr>
      <w:r>
        <w:rPr>
          <w:rFonts w:ascii="Arial" w:hAnsi="Arial" w:cs="Arial"/>
          <w:b/>
          <w:bCs/>
          <w:color w:val="252525"/>
        </w:rPr>
        <w:t>N</w:t>
      </w:r>
      <w:r w:rsidR="001432D1">
        <w:rPr>
          <w:rFonts w:ascii="Arial" w:hAnsi="Arial" w:cs="Arial"/>
          <w:b/>
          <w:bCs/>
          <w:color w:val="252525"/>
        </w:rPr>
        <w:t xml:space="preserve">asal </w:t>
      </w:r>
      <w:r w:rsidR="00A727B4">
        <w:rPr>
          <w:rFonts w:ascii="Arial" w:hAnsi="Arial" w:cs="Arial"/>
          <w:b/>
          <w:bCs/>
          <w:color w:val="252525"/>
        </w:rPr>
        <w:t xml:space="preserve">anti-CD3 reduced hemorrhage and edema that occurs </w:t>
      </w:r>
      <w:r w:rsidR="00D9673C">
        <w:rPr>
          <w:rFonts w:ascii="Arial" w:hAnsi="Arial" w:cs="Arial"/>
          <w:b/>
          <w:bCs/>
          <w:color w:val="252525"/>
        </w:rPr>
        <w:t>with ARIA</w:t>
      </w:r>
      <w:r w:rsidR="00A12F5C">
        <w:rPr>
          <w:rFonts w:ascii="Arial" w:hAnsi="Arial" w:cs="Arial"/>
          <w:b/>
          <w:bCs/>
          <w:color w:val="252525"/>
        </w:rPr>
        <w:t xml:space="preserve"> based on animal studies</w:t>
      </w:r>
    </w:p>
    <w:p w14:paraId="52BDDAD4" w14:textId="3181101E" w:rsidR="000266F7" w:rsidRPr="008C4657" w:rsidRDefault="008C1A9C" w:rsidP="000266F7">
      <w:pPr>
        <w:numPr>
          <w:ilvl w:val="0"/>
          <w:numId w:val="1"/>
        </w:numPr>
        <w:shd w:val="clear" w:color="auto" w:fill="FEFEFE"/>
        <w:spacing w:after="160" w:line="259" w:lineRule="auto"/>
        <w:rPr>
          <w:rFonts w:ascii="Arial" w:hAnsi="Arial" w:cs="Arial"/>
          <w:b/>
          <w:bCs/>
          <w:color w:val="252525"/>
        </w:rPr>
      </w:pPr>
      <w:r>
        <w:rPr>
          <w:rFonts w:ascii="Arial" w:hAnsi="Arial" w:cs="Arial"/>
          <w:b/>
          <w:bCs/>
          <w:color w:val="252525"/>
        </w:rPr>
        <w:t>N</w:t>
      </w:r>
      <w:r w:rsidR="002A7D2D" w:rsidRPr="002A7D2D">
        <w:rPr>
          <w:rFonts w:ascii="Arial" w:hAnsi="Arial" w:cs="Arial"/>
          <w:b/>
          <w:bCs/>
          <w:color w:val="252525"/>
        </w:rPr>
        <w:t xml:space="preserve">euroinflammation </w:t>
      </w:r>
      <w:r>
        <w:rPr>
          <w:rFonts w:ascii="Arial" w:hAnsi="Arial" w:cs="Arial"/>
          <w:b/>
          <w:bCs/>
          <w:color w:val="252525"/>
        </w:rPr>
        <w:t xml:space="preserve">modulation </w:t>
      </w:r>
      <w:r w:rsidR="002A7D2D" w:rsidRPr="002A7D2D">
        <w:rPr>
          <w:rFonts w:ascii="Arial" w:hAnsi="Arial" w:cs="Arial"/>
          <w:b/>
          <w:bCs/>
          <w:color w:val="252525"/>
        </w:rPr>
        <w:t xml:space="preserve">may be synergistic to </w:t>
      </w:r>
      <w:r w:rsidR="003A0D2F">
        <w:rPr>
          <w:rFonts w:ascii="Arial" w:hAnsi="Arial" w:cs="Arial"/>
          <w:b/>
          <w:bCs/>
          <w:color w:val="252525"/>
        </w:rPr>
        <w:t>approved</w:t>
      </w:r>
      <w:r w:rsidR="002A7D2D" w:rsidRPr="002A7D2D">
        <w:rPr>
          <w:rFonts w:ascii="Arial" w:hAnsi="Arial" w:cs="Arial"/>
          <w:b/>
          <w:bCs/>
          <w:color w:val="252525"/>
        </w:rPr>
        <w:t xml:space="preserve"> treatments in A</w:t>
      </w:r>
      <w:r w:rsidR="00A30E49">
        <w:rPr>
          <w:rFonts w:ascii="Arial" w:hAnsi="Arial" w:cs="Arial"/>
          <w:b/>
          <w:bCs/>
          <w:color w:val="252525"/>
        </w:rPr>
        <w:t>lzheimer’s Disease</w:t>
      </w:r>
    </w:p>
    <w:p w14:paraId="59B0D946" w14:textId="51F1D620" w:rsidR="002A7D2D" w:rsidRPr="00F547FD" w:rsidRDefault="002A7D2D" w:rsidP="002A7D2D">
      <w:pPr>
        <w:shd w:val="clear" w:color="auto" w:fill="FEFEFE"/>
        <w:spacing w:before="100" w:beforeAutospacing="1" w:after="100" w:afterAutospacing="1"/>
        <w:rPr>
          <w:rFonts w:ascii="Arial" w:hAnsi="Arial" w:cs="Arial"/>
          <w:color w:val="252525"/>
        </w:rPr>
      </w:pPr>
      <w:r w:rsidRPr="002A7D2D">
        <w:rPr>
          <w:rFonts w:ascii="Arial" w:hAnsi="Arial" w:cs="Arial"/>
          <w:color w:val="252525"/>
        </w:rPr>
        <w:t xml:space="preserve">NEW YORK, March </w:t>
      </w:r>
      <w:r w:rsidR="00A3764F" w:rsidRPr="00F547FD">
        <w:rPr>
          <w:rFonts w:ascii="Arial" w:hAnsi="Arial" w:cs="Arial"/>
          <w:color w:val="252525"/>
        </w:rPr>
        <w:t>5</w:t>
      </w:r>
      <w:r w:rsidRPr="002A7D2D">
        <w:rPr>
          <w:rFonts w:ascii="Arial" w:hAnsi="Arial" w:cs="Arial"/>
          <w:color w:val="252525"/>
        </w:rPr>
        <w:t>, 202</w:t>
      </w:r>
      <w:r w:rsidR="005651CA" w:rsidRPr="00F547FD">
        <w:rPr>
          <w:rFonts w:ascii="Arial" w:hAnsi="Arial" w:cs="Arial"/>
          <w:color w:val="252525"/>
        </w:rPr>
        <w:t>4</w:t>
      </w:r>
      <w:r w:rsidRPr="002A7D2D">
        <w:rPr>
          <w:rFonts w:ascii="Arial" w:hAnsi="Arial" w:cs="Arial"/>
          <w:color w:val="252525"/>
        </w:rPr>
        <w:t xml:space="preserve"> -- </w:t>
      </w:r>
      <w:r w:rsidR="004B753F" w:rsidRPr="00F547FD">
        <w:rPr>
          <w:rFonts w:ascii="Arial" w:hAnsi="Arial" w:cs="Arial"/>
          <w:color w:val="252525"/>
        </w:rPr>
        <w:t xml:space="preserve">Tiziana Life Sciences Ltd. (Nasdaq: </w:t>
      </w:r>
      <w:hyperlink r:id="rId12" w:history="1">
        <w:r w:rsidR="004B753F" w:rsidRPr="00F547FD">
          <w:rPr>
            <w:rStyle w:val="Hyperlink"/>
            <w:rFonts w:ascii="Arial" w:hAnsi="Arial" w:cs="Arial"/>
          </w:rPr>
          <w:t>TLSA</w:t>
        </w:r>
      </w:hyperlink>
      <w:r w:rsidR="004B753F" w:rsidRPr="00F547FD">
        <w:rPr>
          <w:rFonts w:ascii="Arial" w:hAnsi="Arial" w:cs="Arial"/>
          <w:color w:val="252525"/>
        </w:rPr>
        <w:t xml:space="preserve">) (“Tiziana” or the “Company”), a biotechnology company developing breakthrough neuro-immunomodulation </w:t>
      </w:r>
      <w:r w:rsidR="004B753F" w:rsidRPr="00F547FD">
        <w:rPr>
          <w:rFonts w:ascii="Arial" w:hAnsi="Arial" w:cs="Arial"/>
        </w:rPr>
        <w:t xml:space="preserve">therapies, today announced </w:t>
      </w:r>
      <w:r w:rsidRPr="002A7D2D">
        <w:rPr>
          <w:rFonts w:ascii="Arial" w:hAnsi="Arial" w:cs="Arial"/>
          <w:color w:val="252525"/>
        </w:rPr>
        <w:t>that Dr. Howard Weiner will present positive data of intranasal anti-CD3 monoclonal antibody in model</w:t>
      </w:r>
      <w:r w:rsidR="008C4657">
        <w:rPr>
          <w:rFonts w:ascii="Arial" w:hAnsi="Arial" w:cs="Arial"/>
          <w:color w:val="252525"/>
        </w:rPr>
        <w:t>s</w:t>
      </w:r>
      <w:r w:rsidRPr="002A7D2D">
        <w:rPr>
          <w:rFonts w:ascii="Arial" w:hAnsi="Arial" w:cs="Arial"/>
          <w:color w:val="252525"/>
        </w:rPr>
        <w:t xml:space="preserve"> of Alzheimer’s </w:t>
      </w:r>
      <w:r w:rsidR="008C4657">
        <w:rPr>
          <w:rFonts w:ascii="Arial" w:hAnsi="Arial" w:cs="Arial"/>
          <w:color w:val="252525"/>
        </w:rPr>
        <w:t xml:space="preserve">and Parkinson’s </w:t>
      </w:r>
      <w:r w:rsidRPr="002A7D2D">
        <w:rPr>
          <w:rFonts w:ascii="Arial" w:hAnsi="Arial" w:cs="Arial"/>
          <w:color w:val="252525"/>
        </w:rPr>
        <w:t>disease</w:t>
      </w:r>
      <w:r w:rsidR="001935B9">
        <w:rPr>
          <w:rFonts w:ascii="Arial" w:hAnsi="Arial" w:cs="Arial"/>
          <w:color w:val="252525"/>
        </w:rPr>
        <w:t xml:space="preserve"> at </w:t>
      </w:r>
      <w:r w:rsidRPr="002A7D2D">
        <w:rPr>
          <w:rFonts w:ascii="Arial" w:hAnsi="Arial" w:cs="Arial"/>
          <w:color w:val="252525"/>
        </w:rPr>
        <w:t>AD/PD</w:t>
      </w:r>
      <w:r w:rsidR="00FF213D">
        <w:rPr>
          <w:rFonts w:ascii="Arial" w:hAnsi="Arial" w:cs="Arial"/>
          <w:color w:val="252525"/>
        </w:rPr>
        <w:t>, March 5-9</w:t>
      </w:r>
      <w:r w:rsidR="002A7F77">
        <w:rPr>
          <w:rFonts w:ascii="Arial" w:hAnsi="Arial" w:cs="Arial"/>
          <w:color w:val="252525"/>
        </w:rPr>
        <w:t xml:space="preserve">, </w:t>
      </w:r>
      <w:r w:rsidRPr="002A7D2D">
        <w:rPr>
          <w:rFonts w:ascii="Arial" w:hAnsi="Arial" w:cs="Arial"/>
          <w:color w:val="252525"/>
        </w:rPr>
        <w:t>202</w:t>
      </w:r>
      <w:r w:rsidR="00A73F56" w:rsidRPr="00F547FD">
        <w:rPr>
          <w:rFonts w:ascii="Arial" w:hAnsi="Arial" w:cs="Arial"/>
          <w:color w:val="252525"/>
        </w:rPr>
        <w:t>4</w:t>
      </w:r>
      <w:r w:rsidR="002A7F77">
        <w:rPr>
          <w:rFonts w:ascii="Arial" w:hAnsi="Arial" w:cs="Arial"/>
          <w:color w:val="252525"/>
        </w:rPr>
        <w:t>. AD/PD is</w:t>
      </w:r>
      <w:r w:rsidR="001935B9">
        <w:rPr>
          <w:rFonts w:ascii="Arial" w:hAnsi="Arial" w:cs="Arial"/>
          <w:color w:val="252525"/>
        </w:rPr>
        <w:t xml:space="preserve"> the</w:t>
      </w:r>
      <w:r w:rsidRPr="002A7D2D">
        <w:rPr>
          <w:rFonts w:ascii="Arial" w:hAnsi="Arial" w:cs="Arial"/>
          <w:color w:val="252525"/>
        </w:rPr>
        <w:t xml:space="preserve"> </w:t>
      </w:r>
      <w:r w:rsidR="002A7F77">
        <w:rPr>
          <w:rFonts w:ascii="Arial" w:hAnsi="Arial" w:cs="Arial"/>
          <w:color w:val="252525"/>
        </w:rPr>
        <w:t xml:space="preserve">annual </w:t>
      </w:r>
      <w:r w:rsidRPr="002A7D2D">
        <w:rPr>
          <w:rFonts w:ascii="Arial" w:hAnsi="Arial" w:cs="Arial"/>
          <w:color w:val="252525"/>
        </w:rPr>
        <w:t xml:space="preserve">International Conference on Alzheimer’s and Parkinson’s Diseases and Related Neurological Disorders in </w:t>
      </w:r>
      <w:r w:rsidR="00FC0CB8" w:rsidRPr="00F547FD">
        <w:rPr>
          <w:rFonts w:ascii="Arial" w:hAnsi="Arial" w:cs="Arial"/>
          <w:color w:val="252525"/>
        </w:rPr>
        <w:t>Lisbon</w:t>
      </w:r>
      <w:r w:rsidR="00A73F56" w:rsidRPr="00F547FD">
        <w:rPr>
          <w:rFonts w:ascii="Arial" w:hAnsi="Arial" w:cs="Arial"/>
          <w:color w:val="252525"/>
        </w:rPr>
        <w:t>, Portugal</w:t>
      </w:r>
      <w:r w:rsidRPr="002A7D2D">
        <w:rPr>
          <w:rFonts w:ascii="Arial" w:hAnsi="Arial" w:cs="Arial"/>
          <w:color w:val="252525"/>
        </w:rPr>
        <w:t>.</w:t>
      </w:r>
    </w:p>
    <w:p w14:paraId="56A0A2AA" w14:textId="77777777" w:rsidR="00F3122D" w:rsidRPr="00F547FD" w:rsidRDefault="00F3122D" w:rsidP="00F3122D">
      <w:pPr>
        <w:pStyle w:val="NormalWeb"/>
        <w:spacing w:before="0" w:beforeAutospacing="0" w:after="0" w:afterAutospacing="0"/>
        <w:rPr>
          <w:rStyle w:val="Strong"/>
          <w:rFonts w:ascii="Arial" w:hAnsi="Arial" w:cs="Arial"/>
          <w:color w:val="4A4A4A"/>
        </w:rPr>
      </w:pPr>
      <w:r w:rsidRPr="00F547FD">
        <w:rPr>
          <w:rStyle w:val="Strong"/>
          <w:rFonts w:ascii="Arial" w:hAnsi="Arial" w:cs="Arial"/>
          <w:color w:val="4A4A4A"/>
        </w:rPr>
        <w:t>Presentation Information</w:t>
      </w:r>
    </w:p>
    <w:p w14:paraId="7A4FBE62" w14:textId="77777777" w:rsidR="00843310" w:rsidRPr="00F547FD" w:rsidRDefault="00843310" w:rsidP="00F3122D">
      <w:pPr>
        <w:pStyle w:val="NormalWeb"/>
        <w:spacing w:before="0" w:beforeAutospacing="0" w:after="0" w:afterAutospacing="0"/>
        <w:rPr>
          <w:rFonts w:ascii="Arial" w:hAnsi="Arial" w:cs="Arial"/>
          <w:color w:val="4A4A4A"/>
        </w:rPr>
      </w:pPr>
    </w:p>
    <w:p w14:paraId="3978589F" w14:textId="5C1195BF" w:rsidR="00843310" w:rsidRPr="00F547FD" w:rsidRDefault="00F3122D" w:rsidP="00FB4969">
      <w:pPr>
        <w:rPr>
          <w:rStyle w:val="Strong"/>
          <w:rFonts w:ascii="Arial" w:hAnsi="Arial" w:cs="Arial"/>
          <w:b w:val="0"/>
          <w:bCs w:val="0"/>
          <w:color w:val="4A4A4A"/>
        </w:rPr>
      </w:pPr>
      <w:r w:rsidRPr="00F547FD">
        <w:rPr>
          <w:rStyle w:val="Strong"/>
          <w:rFonts w:ascii="Arial" w:hAnsi="Arial" w:cs="Arial"/>
          <w:color w:val="4A4A4A"/>
        </w:rPr>
        <w:t>Presenter:</w:t>
      </w:r>
      <w:r w:rsidRPr="00F547FD">
        <w:rPr>
          <w:rFonts w:ascii="Arial" w:hAnsi="Arial" w:cs="Arial"/>
        </w:rPr>
        <w:t> </w:t>
      </w:r>
      <w:r w:rsidR="0060610F" w:rsidRPr="00F547FD">
        <w:rPr>
          <w:rFonts w:ascii="Arial" w:hAnsi="Arial" w:cs="Arial"/>
        </w:rPr>
        <w:t>Howard L Weiner</w:t>
      </w:r>
      <w:r w:rsidR="00AF2E0C">
        <w:rPr>
          <w:rFonts w:ascii="Arial" w:hAnsi="Arial" w:cs="Arial"/>
        </w:rPr>
        <w:t>, M</w:t>
      </w:r>
      <w:r w:rsidR="009C22C6">
        <w:rPr>
          <w:rFonts w:ascii="Arial" w:hAnsi="Arial" w:cs="Arial"/>
        </w:rPr>
        <w:t>.D.</w:t>
      </w:r>
      <w:r w:rsidR="00AF2E0C">
        <w:rPr>
          <w:rFonts w:ascii="Arial" w:hAnsi="Arial" w:cs="Arial"/>
        </w:rPr>
        <w:t xml:space="preserve"> </w:t>
      </w:r>
    </w:p>
    <w:p w14:paraId="165FEE0C" w14:textId="32E145C6" w:rsidR="0060610F" w:rsidRPr="00F547FD" w:rsidRDefault="00F3122D" w:rsidP="00FB4969">
      <w:pPr>
        <w:rPr>
          <w:rFonts w:ascii="Arial" w:hAnsi="Arial" w:cs="Arial"/>
        </w:rPr>
      </w:pPr>
      <w:r w:rsidRPr="00F547FD">
        <w:rPr>
          <w:rStyle w:val="Strong"/>
          <w:rFonts w:ascii="Arial" w:hAnsi="Arial" w:cs="Arial"/>
          <w:color w:val="4A4A4A"/>
        </w:rPr>
        <w:t>Title:</w:t>
      </w:r>
      <w:r w:rsidR="008C5D0E" w:rsidRPr="00F547FD">
        <w:rPr>
          <w:rStyle w:val="Strong"/>
          <w:rFonts w:ascii="Arial" w:hAnsi="Arial" w:cs="Arial"/>
          <w:color w:val="4A4A4A"/>
        </w:rPr>
        <w:t xml:space="preserve"> </w:t>
      </w:r>
      <w:r w:rsidR="008C5D0E" w:rsidRPr="00F547FD">
        <w:rPr>
          <w:rFonts w:ascii="Arial" w:hAnsi="Arial" w:cs="Arial"/>
        </w:rPr>
        <w:t xml:space="preserve">Nasal </w:t>
      </w:r>
      <w:r w:rsidR="00631BD9" w:rsidRPr="00F547FD">
        <w:rPr>
          <w:rFonts w:ascii="Arial" w:hAnsi="Arial" w:cs="Arial"/>
        </w:rPr>
        <w:t>immunotherapy of the Monocyte-Microglial axis to treat Alzheimer’s</w:t>
      </w:r>
      <w:r w:rsidR="00631BD9" w:rsidRPr="00F547FD">
        <w:rPr>
          <w:rStyle w:val="Strong"/>
          <w:rFonts w:ascii="Arial" w:hAnsi="Arial" w:cs="Arial"/>
          <w:b w:val="0"/>
          <w:bCs w:val="0"/>
          <w:color w:val="4A4A4A"/>
        </w:rPr>
        <w:t xml:space="preserve"> </w:t>
      </w:r>
      <w:r w:rsidR="0060610F" w:rsidRPr="00F547FD">
        <w:rPr>
          <w:rStyle w:val="Strong"/>
          <w:rFonts w:ascii="Arial" w:hAnsi="Arial" w:cs="Arial"/>
          <w:b w:val="0"/>
          <w:bCs w:val="0"/>
          <w:color w:val="4A4A4A"/>
        </w:rPr>
        <w:t>Disease</w:t>
      </w:r>
    </w:p>
    <w:p w14:paraId="4FAD5D49" w14:textId="53DE330A" w:rsidR="008C5D0E" w:rsidRPr="00F547FD" w:rsidRDefault="00F3122D" w:rsidP="00FB4969">
      <w:pPr>
        <w:rPr>
          <w:rFonts w:ascii="Arial" w:hAnsi="Arial" w:cs="Arial"/>
        </w:rPr>
      </w:pPr>
      <w:r w:rsidRPr="00F547FD">
        <w:rPr>
          <w:rStyle w:val="Strong"/>
          <w:rFonts w:ascii="Arial" w:hAnsi="Arial" w:cs="Arial"/>
          <w:color w:val="4A4A4A"/>
        </w:rPr>
        <w:t>Day:</w:t>
      </w:r>
      <w:r w:rsidRPr="00F547FD">
        <w:rPr>
          <w:rFonts w:ascii="Arial" w:hAnsi="Arial" w:cs="Arial"/>
        </w:rPr>
        <w:t> </w:t>
      </w:r>
      <w:r w:rsidR="00703420" w:rsidRPr="00F547FD">
        <w:rPr>
          <w:rFonts w:ascii="Arial" w:hAnsi="Arial" w:cs="Arial"/>
        </w:rPr>
        <w:t>Friday</w:t>
      </w:r>
      <w:r w:rsidRPr="00F547FD">
        <w:rPr>
          <w:rFonts w:ascii="Arial" w:hAnsi="Arial" w:cs="Arial"/>
        </w:rPr>
        <w:t xml:space="preserve">, </w:t>
      </w:r>
      <w:r w:rsidR="00703420" w:rsidRPr="00F547FD">
        <w:rPr>
          <w:rFonts w:ascii="Arial" w:hAnsi="Arial" w:cs="Arial"/>
        </w:rPr>
        <w:t>March</w:t>
      </w:r>
      <w:r w:rsidRPr="00F547FD">
        <w:rPr>
          <w:rFonts w:ascii="Arial" w:hAnsi="Arial" w:cs="Arial"/>
        </w:rPr>
        <w:t xml:space="preserve"> 8</w:t>
      </w:r>
      <w:r w:rsidRPr="00F547FD">
        <w:rPr>
          <w:rFonts w:ascii="Arial" w:hAnsi="Arial" w:cs="Arial"/>
          <w:vertAlign w:val="superscript"/>
        </w:rPr>
        <w:t>th</w:t>
      </w:r>
    </w:p>
    <w:p w14:paraId="1C392124" w14:textId="3C7BCB3C" w:rsidR="00F3122D" w:rsidRPr="00F547FD" w:rsidRDefault="00F3122D" w:rsidP="00FB4969">
      <w:pPr>
        <w:rPr>
          <w:rFonts w:ascii="Arial" w:hAnsi="Arial" w:cs="Arial"/>
        </w:rPr>
      </w:pPr>
      <w:r w:rsidRPr="00F547FD">
        <w:rPr>
          <w:rStyle w:val="Strong"/>
          <w:rFonts w:ascii="Arial" w:hAnsi="Arial" w:cs="Arial"/>
          <w:color w:val="4A4A4A"/>
        </w:rPr>
        <w:t>Time:</w:t>
      </w:r>
      <w:r w:rsidRPr="00F547FD">
        <w:rPr>
          <w:rFonts w:ascii="Arial" w:hAnsi="Arial" w:cs="Arial"/>
        </w:rPr>
        <w:t> </w:t>
      </w:r>
      <w:r w:rsidR="00703420" w:rsidRPr="00F547FD">
        <w:rPr>
          <w:rFonts w:ascii="Arial" w:hAnsi="Arial" w:cs="Arial"/>
        </w:rPr>
        <w:t>15:05</w:t>
      </w:r>
      <w:r w:rsidR="00937515">
        <w:rPr>
          <w:rFonts w:ascii="Arial" w:hAnsi="Arial" w:cs="Arial"/>
        </w:rPr>
        <w:t xml:space="preserve"> UTC</w:t>
      </w:r>
    </w:p>
    <w:p w14:paraId="56B9181A" w14:textId="1C0C3C79" w:rsidR="00F3122D" w:rsidRPr="00F547FD" w:rsidRDefault="00F3122D" w:rsidP="00FB4969">
      <w:pPr>
        <w:rPr>
          <w:rFonts w:ascii="Arial" w:hAnsi="Arial" w:cs="Arial"/>
        </w:rPr>
      </w:pPr>
      <w:r w:rsidRPr="00F547FD">
        <w:rPr>
          <w:rStyle w:val="Strong"/>
          <w:rFonts w:ascii="Arial" w:hAnsi="Arial" w:cs="Arial"/>
          <w:color w:val="4A4A4A"/>
        </w:rPr>
        <w:t>Location:</w:t>
      </w:r>
      <w:r w:rsidRPr="00F547FD">
        <w:rPr>
          <w:rFonts w:ascii="Arial" w:hAnsi="Arial" w:cs="Arial"/>
        </w:rPr>
        <w:t> </w:t>
      </w:r>
      <w:r w:rsidR="0030594C" w:rsidRPr="00F547FD">
        <w:rPr>
          <w:rFonts w:ascii="Arial" w:hAnsi="Arial" w:cs="Arial"/>
        </w:rPr>
        <w:t>Auditorium V</w:t>
      </w:r>
    </w:p>
    <w:p w14:paraId="69770CC8" w14:textId="77777777" w:rsidR="00710953" w:rsidRDefault="002A7D2D" w:rsidP="000468EF">
      <w:pPr>
        <w:shd w:val="clear" w:color="auto" w:fill="FEFEFE"/>
        <w:spacing w:before="100" w:beforeAutospacing="1" w:after="100" w:afterAutospacing="1"/>
        <w:rPr>
          <w:rFonts w:ascii="Arial" w:hAnsi="Arial" w:cs="Arial"/>
          <w:color w:val="252525"/>
        </w:rPr>
      </w:pPr>
      <w:r w:rsidRPr="002A7D2D">
        <w:rPr>
          <w:rFonts w:ascii="Arial" w:hAnsi="Arial" w:cs="Arial"/>
          <w:color w:val="252525"/>
        </w:rPr>
        <w:t>Howard L. Weiner, M.D., Co-Director of the Ann Romney Center for Neurologic Diseases at Brigham and Women’s Hospital, a founding member of Mass General Brigham, and Chairman of Tiziana's Scientific Advisory Board, stated, “I believe that the modulation of innate immunity via</w:t>
      </w:r>
      <w:r w:rsidRPr="002A7D2D">
        <w:rPr>
          <w:rFonts w:ascii="Arial" w:eastAsiaTheme="minorHAnsi" w:hAnsi="Arial" w:cs="Arial"/>
          <w:sz w:val="22"/>
          <w:szCs w:val="22"/>
        </w:rPr>
        <w:t xml:space="preserve"> </w:t>
      </w:r>
      <w:r w:rsidRPr="002A7D2D">
        <w:rPr>
          <w:rFonts w:ascii="Arial" w:hAnsi="Arial" w:cs="Arial"/>
          <w:color w:val="252525"/>
        </w:rPr>
        <w:t>targeting microglia will play a synergistic role with the currently approved anti-amyloid Alzheimer’s treatments. Our research has</w:t>
      </w:r>
      <w:r w:rsidR="00BD2520" w:rsidRPr="00F547FD">
        <w:rPr>
          <w:rFonts w:ascii="Arial" w:hAnsi="Arial" w:cs="Arial"/>
          <w:color w:val="252525"/>
        </w:rPr>
        <w:t xml:space="preserve"> </w:t>
      </w:r>
      <w:r w:rsidRPr="002A7D2D">
        <w:rPr>
          <w:rFonts w:ascii="Arial" w:hAnsi="Arial" w:cs="Arial"/>
          <w:color w:val="252525"/>
        </w:rPr>
        <w:t>demonstrated that intranasal rodent anti-CD3 mAb and intranasal fully human anti-CD3 mAb (foralumab) will decrease microglia activation in rodents and humans, respectively.</w:t>
      </w:r>
      <w:r w:rsidR="00C438C0" w:rsidRPr="00F547FD">
        <w:rPr>
          <w:rFonts w:ascii="Arial" w:hAnsi="Arial" w:cs="Arial"/>
          <w:color w:val="252525"/>
        </w:rPr>
        <w:t xml:space="preserve"> </w:t>
      </w:r>
      <w:r w:rsidR="00800D31" w:rsidRPr="00F547FD">
        <w:rPr>
          <w:rFonts w:ascii="Arial" w:hAnsi="Arial" w:cs="Arial"/>
          <w:color w:val="252525"/>
        </w:rPr>
        <w:t>Nasal anti-CD3 has also shown to reduce hemorr</w:t>
      </w:r>
      <w:r w:rsidR="00FC0FC8" w:rsidRPr="00F547FD">
        <w:rPr>
          <w:rFonts w:ascii="Arial" w:hAnsi="Arial" w:cs="Arial"/>
          <w:color w:val="252525"/>
        </w:rPr>
        <w:t>hage and edema that occurs with ARIA</w:t>
      </w:r>
      <w:r w:rsidRPr="002A7D2D">
        <w:rPr>
          <w:rFonts w:ascii="Arial" w:hAnsi="Arial" w:cs="Arial"/>
          <w:color w:val="252525"/>
        </w:rPr>
        <w:t>”</w:t>
      </w:r>
    </w:p>
    <w:p w14:paraId="327747C2" w14:textId="66C20397" w:rsidR="005E3F03" w:rsidRDefault="002A7D2D" w:rsidP="000468EF">
      <w:pPr>
        <w:shd w:val="clear" w:color="auto" w:fill="FEFEFE"/>
        <w:spacing w:before="100" w:beforeAutospacing="1" w:after="100" w:afterAutospacing="1"/>
        <w:rPr>
          <w:rFonts w:ascii="Arial" w:hAnsi="Arial" w:cs="Arial"/>
          <w:color w:val="252525"/>
        </w:rPr>
      </w:pPr>
      <w:r w:rsidRPr="002A7D2D">
        <w:rPr>
          <w:rFonts w:ascii="Arial" w:hAnsi="Arial" w:cs="Arial"/>
          <w:color w:val="252525"/>
        </w:rPr>
        <w:lastRenderedPageBreak/>
        <w:t xml:space="preserve">“With </w:t>
      </w:r>
      <w:r w:rsidR="009C0FAF">
        <w:rPr>
          <w:rFonts w:ascii="Arial" w:hAnsi="Arial" w:cs="Arial"/>
          <w:color w:val="252525"/>
        </w:rPr>
        <w:t xml:space="preserve">the </w:t>
      </w:r>
      <w:r w:rsidRPr="002A7D2D">
        <w:rPr>
          <w:rFonts w:ascii="Arial" w:hAnsi="Arial" w:cs="Arial"/>
          <w:color w:val="252525"/>
        </w:rPr>
        <w:t xml:space="preserve">focus on effective Alzheimer’s disease treatments and we have the potential to be a novel, first in class neuroinflammatory modulator,” commented Gabriele Cerrone, </w:t>
      </w:r>
      <w:r w:rsidR="00D81E28" w:rsidRPr="00D81E28">
        <w:rPr>
          <w:rFonts w:ascii="Arial" w:hAnsi="Arial" w:cs="Arial"/>
          <w:color w:val="252525"/>
        </w:rPr>
        <w:t>Chairman, acting CEO and founder of Tiziana Life Sciences</w:t>
      </w:r>
      <w:r w:rsidR="00D81E28">
        <w:rPr>
          <w:rFonts w:ascii="Arial" w:hAnsi="Arial" w:cs="Arial"/>
          <w:color w:val="252525"/>
        </w:rPr>
        <w:t>.</w:t>
      </w:r>
      <w:r w:rsidRPr="002A7D2D">
        <w:rPr>
          <w:rFonts w:ascii="Arial" w:hAnsi="Arial" w:cs="Arial"/>
          <w:color w:val="252525"/>
        </w:rPr>
        <w:t xml:space="preserve"> “Our intranasal approach has</w:t>
      </w:r>
      <w:r w:rsidR="001672B4">
        <w:rPr>
          <w:rFonts w:ascii="Arial" w:hAnsi="Arial" w:cs="Arial"/>
          <w:color w:val="252525"/>
        </w:rPr>
        <w:t xml:space="preserve"> large</w:t>
      </w:r>
      <w:r w:rsidRPr="002A7D2D">
        <w:rPr>
          <w:rFonts w:ascii="Arial" w:hAnsi="Arial" w:cs="Arial"/>
          <w:color w:val="252525"/>
        </w:rPr>
        <w:t xml:space="preserve"> potential </w:t>
      </w:r>
      <w:r w:rsidR="00017DBD">
        <w:rPr>
          <w:rFonts w:ascii="Arial" w:hAnsi="Arial" w:cs="Arial"/>
          <w:color w:val="252525"/>
        </w:rPr>
        <w:t>as it</w:t>
      </w:r>
      <w:r w:rsidRPr="002A7D2D">
        <w:rPr>
          <w:rFonts w:ascii="Arial" w:hAnsi="Arial" w:cs="Arial"/>
          <w:color w:val="252525"/>
        </w:rPr>
        <w:t xml:space="preserve"> does not target beta-amyloid or other proteins, but focuses on the neuroinflammatory process itself, which may be complementary or synergistic with existing</w:t>
      </w:r>
      <w:r w:rsidR="00017DBD">
        <w:rPr>
          <w:rFonts w:ascii="Arial" w:hAnsi="Arial" w:cs="Arial"/>
          <w:color w:val="252525"/>
        </w:rPr>
        <w:t xml:space="preserve"> FDA approved</w:t>
      </w:r>
      <w:r w:rsidRPr="002A7D2D">
        <w:rPr>
          <w:rFonts w:ascii="Arial" w:hAnsi="Arial" w:cs="Arial"/>
          <w:color w:val="252525"/>
        </w:rPr>
        <w:t xml:space="preserve"> treatments.</w:t>
      </w:r>
      <w:r w:rsidR="007B1CCF">
        <w:rPr>
          <w:rFonts w:ascii="Arial" w:hAnsi="Arial" w:cs="Arial"/>
          <w:color w:val="252525"/>
        </w:rPr>
        <w:t xml:space="preserve"> </w:t>
      </w:r>
      <w:r w:rsidR="00AD2CF8">
        <w:rPr>
          <w:rFonts w:ascii="Arial" w:hAnsi="Arial" w:cs="Arial"/>
          <w:color w:val="252525"/>
        </w:rPr>
        <w:t xml:space="preserve">The data </w:t>
      </w:r>
      <w:r w:rsidR="00D862CE">
        <w:rPr>
          <w:rFonts w:ascii="Arial" w:hAnsi="Arial" w:cs="Arial"/>
          <w:color w:val="252525"/>
        </w:rPr>
        <w:t xml:space="preserve">also </w:t>
      </w:r>
      <w:r w:rsidR="00904B91">
        <w:rPr>
          <w:rFonts w:ascii="Arial" w:hAnsi="Arial" w:cs="Arial"/>
          <w:color w:val="252525"/>
        </w:rPr>
        <w:t xml:space="preserve">excitingly shows a </w:t>
      </w:r>
      <w:r w:rsidR="000479D4">
        <w:rPr>
          <w:rFonts w:ascii="Arial" w:hAnsi="Arial" w:cs="Arial"/>
          <w:color w:val="252525"/>
        </w:rPr>
        <w:t xml:space="preserve">reduction of hemorrhage </w:t>
      </w:r>
      <w:r w:rsidR="00A10CF7">
        <w:rPr>
          <w:rFonts w:ascii="Arial" w:hAnsi="Arial" w:cs="Arial"/>
          <w:color w:val="252525"/>
        </w:rPr>
        <w:t xml:space="preserve">and edema that occurs </w:t>
      </w:r>
      <w:r w:rsidR="00D862CE">
        <w:rPr>
          <w:rFonts w:ascii="Arial" w:hAnsi="Arial" w:cs="Arial"/>
          <w:color w:val="252525"/>
        </w:rPr>
        <w:t>with</w:t>
      </w:r>
      <w:r w:rsidR="00A10CF7">
        <w:rPr>
          <w:rFonts w:ascii="Arial" w:hAnsi="Arial" w:cs="Arial"/>
          <w:color w:val="252525"/>
        </w:rPr>
        <w:t xml:space="preserve"> ARIA</w:t>
      </w:r>
      <w:r w:rsidR="004335E5">
        <w:rPr>
          <w:rFonts w:ascii="Arial" w:hAnsi="Arial" w:cs="Arial"/>
          <w:color w:val="252525"/>
        </w:rPr>
        <w:t>.”</w:t>
      </w:r>
    </w:p>
    <w:p w14:paraId="0023E236" w14:textId="15066C59" w:rsidR="000468EF" w:rsidRPr="00FD198A" w:rsidRDefault="000468EF" w:rsidP="000468EF">
      <w:pPr>
        <w:shd w:val="clear" w:color="auto" w:fill="FEFEFE"/>
        <w:spacing w:before="100" w:beforeAutospacing="1" w:after="100" w:afterAutospacing="1"/>
        <w:rPr>
          <w:rFonts w:ascii="Arial" w:hAnsi="Arial" w:cs="Arial"/>
          <w:color w:val="252525"/>
        </w:rPr>
      </w:pPr>
      <w:r w:rsidRPr="00FD198A">
        <w:rPr>
          <w:rFonts w:ascii="Arial" w:hAnsi="Arial" w:cs="Arial"/>
          <w:b/>
          <w:bCs/>
          <w:color w:val="252525"/>
        </w:rPr>
        <w:t>About Foralumab</w:t>
      </w:r>
    </w:p>
    <w:p w14:paraId="7BA9E371" w14:textId="23D2609E" w:rsidR="000468EF" w:rsidRPr="00FD198A" w:rsidRDefault="000468EF" w:rsidP="000468EF">
      <w:pPr>
        <w:shd w:val="clear" w:color="auto" w:fill="FEFEFE"/>
        <w:spacing w:before="100" w:beforeAutospacing="1" w:after="100" w:afterAutospacing="1"/>
        <w:rPr>
          <w:rFonts w:ascii="Arial" w:hAnsi="Arial" w:cs="Arial"/>
          <w:color w:val="252525"/>
        </w:rPr>
      </w:pPr>
      <w:r w:rsidRPr="00FD198A">
        <w:rPr>
          <w:rFonts w:ascii="Arial" w:hAnsi="Arial" w:cs="Arial"/>
          <w:color w:val="252525"/>
        </w:rPr>
        <w:t>Activated T cells play an important role in the inflammatory process. Foralumab, the only fully human anti-CD3 monoclonal antibody (mAb), binds to the T cell receptor and dampens inflammation by modulating T cell function, thereby suppressing effector features in multiple immune cell subsets. This effect has been demonstrated in patients with COVID and with multiple sclerosis, as well as in healthy normal subjects</w:t>
      </w:r>
      <w:r w:rsidR="00040D06" w:rsidRPr="00FD198A">
        <w:rPr>
          <w:rFonts w:ascii="Arial" w:hAnsi="Arial" w:cs="Arial"/>
          <w:color w:val="252525"/>
        </w:rPr>
        <w:t>.</w:t>
      </w:r>
      <w:r w:rsidR="00882794" w:rsidRPr="00FD198A">
        <w:rPr>
          <w:rFonts w:ascii="Arial" w:hAnsi="Arial" w:cs="Arial"/>
          <w:color w:val="252525"/>
        </w:rPr>
        <w:t xml:space="preserve"> </w:t>
      </w:r>
      <w:r w:rsidR="00256864" w:rsidRPr="00256864">
        <w:rPr>
          <w:rFonts w:ascii="Arial" w:hAnsi="Arial" w:cs="Arial"/>
          <w:color w:val="252525"/>
        </w:rPr>
        <w:t>The non-active SPMS intranasal foralumab Phase 2 trial dosed its first patient in December of 2023</w:t>
      </w:r>
      <w:r w:rsidRPr="00FD198A">
        <w:rPr>
          <w:rFonts w:ascii="Arial" w:hAnsi="Arial" w:cs="Arial"/>
          <w:color w:val="252525"/>
        </w:rPr>
        <w:t>.</w:t>
      </w:r>
      <w:r w:rsidR="00A53BE2" w:rsidRPr="00FD198A">
        <w:rPr>
          <w:rFonts w:ascii="Arial" w:hAnsi="Arial" w:cs="Arial"/>
          <w:color w:val="252525"/>
        </w:rPr>
        <w:t xml:space="preserve"> </w:t>
      </w:r>
      <w:r w:rsidRPr="00FD198A">
        <w:rPr>
          <w:rFonts w:ascii="Arial" w:hAnsi="Arial" w:cs="Arial"/>
          <w:color w:val="252525"/>
        </w:rPr>
        <w:t xml:space="preserve">Immunomodulation by nasal anti-CD3 mAb represents a novel avenue for treatment of </w:t>
      </w:r>
      <w:r w:rsidR="00A53BE2" w:rsidRPr="00FD198A">
        <w:rPr>
          <w:rFonts w:ascii="Arial" w:hAnsi="Arial" w:cs="Arial"/>
          <w:color w:val="252525"/>
        </w:rPr>
        <w:t>neuro</w:t>
      </w:r>
      <w:r w:rsidRPr="00FD198A">
        <w:rPr>
          <w:rFonts w:ascii="Arial" w:hAnsi="Arial" w:cs="Arial"/>
          <w:color w:val="252525"/>
        </w:rPr>
        <w:t xml:space="preserve">inflammatory </w:t>
      </w:r>
      <w:r w:rsidR="00A53BE2" w:rsidRPr="00FD198A">
        <w:rPr>
          <w:rFonts w:ascii="Arial" w:hAnsi="Arial" w:cs="Arial"/>
          <w:color w:val="252525"/>
        </w:rPr>
        <w:t xml:space="preserve">and neurodegenerative </w:t>
      </w:r>
      <w:r w:rsidRPr="00FD198A">
        <w:rPr>
          <w:rFonts w:ascii="Arial" w:hAnsi="Arial" w:cs="Arial"/>
          <w:color w:val="252525"/>
        </w:rPr>
        <w:t>human diseases</w:t>
      </w:r>
      <w:r w:rsidR="009877C8" w:rsidRPr="00FD198A">
        <w:rPr>
          <w:rFonts w:ascii="Arial" w:hAnsi="Arial" w:cs="Arial"/>
          <w:color w:val="252525"/>
        </w:rPr>
        <w:t>.</w:t>
      </w:r>
      <w:r w:rsidR="009877C8" w:rsidRPr="00FD198A">
        <w:rPr>
          <w:rStyle w:val="FootnoteReference"/>
          <w:rFonts w:ascii="Arial" w:hAnsi="Arial" w:cs="Arial"/>
          <w:color w:val="252525"/>
        </w:rPr>
        <w:footnoteReference w:id="2"/>
      </w:r>
      <w:r w:rsidR="00B3417D" w:rsidRPr="00FD198A">
        <w:rPr>
          <w:rFonts w:ascii="Arial" w:hAnsi="Arial" w:cs="Arial"/>
          <w:color w:val="252525"/>
          <w:vertAlign w:val="superscript"/>
        </w:rPr>
        <w:t>,</w:t>
      </w:r>
      <w:r w:rsidR="00B3417D" w:rsidRPr="00FD198A">
        <w:rPr>
          <w:rStyle w:val="FootnoteReference"/>
          <w:rFonts w:ascii="Arial" w:hAnsi="Arial" w:cs="Arial"/>
          <w:color w:val="252525"/>
        </w:rPr>
        <w:footnoteReference w:id="3"/>
      </w:r>
    </w:p>
    <w:p w14:paraId="3F875E3D" w14:textId="77777777" w:rsidR="000468EF" w:rsidRPr="00FD198A" w:rsidRDefault="000468EF" w:rsidP="000468EF">
      <w:pPr>
        <w:shd w:val="clear" w:color="auto" w:fill="FEFEFE"/>
        <w:spacing w:before="100" w:beforeAutospacing="1" w:after="100" w:afterAutospacing="1"/>
        <w:rPr>
          <w:rFonts w:ascii="Arial" w:hAnsi="Arial" w:cs="Arial"/>
          <w:color w:val="252525"/>
        </w:rPr>
      </w:pPr>
      <w:r w:rsidRPr="00FD198A">
        <w:rPr>
          <w:rFonts w:ascii="Arial" w:hAnsi="Arial" w:cs="Arial"/>
          <w:b/>
          <w:bCs/>
          <w:color w:val="252525"/>
        </w:rPr>
        <w:t>About Tiziana Life Sciences</w:t>
      </w:r>
    </w:p>
    <w:p w14:paraId="4878E302" w14:textId="4AC95B4D" w:rsidR="00256864" w:rsidRPr="00FD198A" w:rsidRDefault="000468EF" w:rsidP="000468EF">
      <w:pPr>
        <w:shd w:val="clear" w:color="auto" w:fill="FEFEFE"/>
        <w:spacing w:before="100" w:beforeAutospacing="1" w:after="100" w:afterAutospacing="1"/>
        <w:rPr>
          <w:rFonts w:ascii="Arial" w:hAnsi="Arial" w:cs="Arial"/>
          <w:color w:val="252525"/>
        </w:rPr>
      </w:pPr>
      <w:r w:rsidRPr="00FD198A">
        <w:rPr>
          <w:rFonts w:ascii="Arial" w:hAnsi="Arial" w:cs="Arial"/>
          <w:color w:val="252525"/>
        </w:rPr>
        <w:t xml:space="preserve">Tiziana Life Sciences is a clinical-stage biopharmaceutical company developing breakthrough therapies using transformational drug delivery technologies to enable alternative routes of immunotherapy. </w:t>
      </w:r>
      <w:r w:rsidRPr="00FD198A">
        <w:rPr>
          <w:rStyle w:val="cf01"/>
          <w:rFonts w:ascii="Arial" w:hAnsi="Arial" w:cs="Arial"/>
          <w:sz w:val="24"/>
          <w:szCs w:val="24"/>
        </w:rPr>
        <w:t>Tiziana’s innovative nasal approach has the potential to provide an improvement in efficacy as well as safety and tolerability compared to intravenous (IV) delivery.</w:t>
      </w:r>
      <w:r w:rsidR="00A53BE2" w:rsidRPr="00FD198A">
        <w:rPr>
          <w:rStyle w:val="cf01"/>
          <w:rFonts w:ascii="Arial" w:hAnsi="Arial" w:cs="Arial"/>
        </w:rPr>
        <w:t xml:space="preserve"> </w:t>
      </w:r>
      <w:r w:rsidRPr="00FD198A">
        <w:rPr>
          <w:rFonts w:ascii="Arial" w:hAnsi="Arial" w:cs="Arial"/>
          <w:color w:val="252525"/>
        </w:rPr>
        <w:t>Tiziana’s lead candidate, intranasal foralumab, which is the only fully human anti-CD3 mAb, has demonstrated a favorable safety profile and clinical response in patients in studies to date. Tiziana’s technology for alternative routes of immunotherapy has been patented with several applications pending and is expected to allow for broad pipeline applications.</w:t>
      </w:r>
    </w:p>
    <w:p w14:paraId="27DA77C7" w14:textId="77777777" w:rsidR="000468EF" w:rsidRPr="00FD198A" w:rsidRDefault="000468EF" w:rsidP="000468EF">
      <w:pPr>
        <w:shd w:val="clear" w:color="auto" w:fill="FEFEFE"/>
        <w:spacing w:before="100" w:beforeAutospacing="1" w:after="100" w:afterAutospacing="1"/>
        <w:rPr>
          <w:rFonts w:ascii="Arial" w:hAnsi="Arial" w:cs="Arial"/>
          <w:color w:val="252525"/>
        </w:rPr>
      </w:pPr>
      <w:r w:rsidRPr="00FD198A">
        <w:rPr>
          <w:rFonts w:ascii="Arial" w:hAnsi="Arial" w:cs="Arial"/>
          <w:color w:val="252525"/>
        </w:rPr>
        <w:t>For further inquiries:</w:t>
      </w:r>
    </w:p>
    <w:p w14:paraId="0331E82F" w14:textId="77777777" w:rsidR="000468EF" w:rsidRPr="00FD198A" w:rsidRDefault="000468EF" w:rsidP="000468EF">
      <w:pPr>
        <w:shd w:val="clear" w:color="auto" w:fill="FEFEFE"/>
        <w:spacing w:before="100" w:beforeAutospacing="1" w:after="100" w:afterAutospacing="1"/>
        <w:rPr>
          <w:rFonts w:ascii="Arial" w:hAnsi="Arial" w:cs="Arial"/>
          <w:color w:val="252525"/>
        </w:rPr>
      </w:pPr>
      <w:r w:rsidRPr="00FD198A">
        <w:rPr>
          <w:rFonts w:ascii="Arial" w:hAnsi="Arial" w:cs="Arial"/>
          <w:b/>
          <w:bCs/>
          <w:color w:val="252525"/>
        </w:rPr>
        <w:t>Tiziana Life Sciences Ltd</w:t>
      </w:r>
    </w:p>
    <w:p w14:paraId="2CA51337" w14:textId="77777777" w:rsidR="000468EF" w:rsidRPr="00FD198A" w:rsidRDefault="000468EF" w:rsidP="000468EF">
      <w:pPr>
        <w:shd w:val="clear" w:color="auto" w:fill="FEFEFE"/>
        <w:spacing w:before="100" w:beforeAutospacing="1" w:after="100" w:afterAutospacing="1"/>
        <w:rPr>
          <w:rFonts w:ascii="Arial" w:hAnsi="Arial" w:cs="Arial"/>
          <w:color w:val="252525"/>
        </w:rPr>
      </w:pPr>
      <w:r w:rsidRPr="00FD198A">
        <w:rPr>
          <w:rFonts w:ascii="Arial" w:hAnsi="Arial" w:cs="Arial"/>
          <w:color w:val="252525"/>
        </w:rPr>
        <w:t xml:space="preserve">Paul Spencer, Business Development and Investor Relations </w:t>
      </w:r>
      <w:r w:rsidRPr="00FD198A">
        <w:rPr>
          <w:rFonts w:ascii="Arial" w:hAnsi="Arial" w:cs="Arial"/>
          <w:color w:val="252525"/>
        </w:rPr>
        <w:br/>
        <w:t>+44 (0) 207 495 2379</w:t>
      </w:r>
      <w:r w:rsidRPr="00FD198A">
        <w:rPr>
          <w:rFonts w:ascii="Arial" w:hAnsi="Arial" w:cs="Arial"/>
          <w:color w:val="252525"/>
        </w:rPr>
        <w:br/>
        <w:t>email: </w:t>
      </w:r>
      <w:hyperlink r:id="rId13" w:tgtFrame="_blank" w:history="1">
        <w:r w:rsidRPr="00FD198A">
          <w:rPr>
            <w:rFonts w:ascii="Arial" w:hAnsi="Arial" w:cs="Arial"/>
            <w:color w:val="3E9CB9"/>
            <w:u w:val="single"/>
          </w:rPr>
          <w:t>info@tizianalifesciences.com</w:t>
        </w:r>
      </w:hyperlink>
    </w:p>
    <w:p w14:paraId="53DEEB0A" w14:textId="3EBBDD77" w:rsidR="000468EF" w:rsidRPr="008D4DCA" w:rsidRDefault="000468EF" w:rsidP="000468EF">
      <w:pPr>
        <w:shd w:val="clear" w:color="auto" w:fill="FEFEFE"/>
        <w:spacing w:before="100" w:beforeAutospacing="1" w:after="100" w:afterAutospacing="1"/>
        <w:rPr>
          <w:rFonts w:ascii="Arial" w:hAnsi="Arial" w:cs="Arial"/>
        </w:rPr>
      </w:pPr>
      <w:r w:rsidRPr="00FD198A">
        <w:rPr>
          <w:rFonts w:ascii="Arial" w:hAnsi="Arial" w:cs="Arial"/>
          <w:b/>
          <w:bCs/>
          <w:color w:val="252525"/>
        </w:rPr>
        <w:t>Investors:</w:t>
      </w:r>
      <w:r w:rsidRPr="00FD198A">
        <w:rPr>
          <w:rFonts w:ascii="Arial" w:hAnsi="Arial" w:cs="Arial"/>
          <w:color w:val="252525"/>
        </w:rPr>
        <w:br/>
        <w:t>Irina Koffler</w:t>
      </w:r>
      <w:r w:rsidRPr="00FD198A">
        <w:rPr>
          <w:rFonts w:ascii="Arial" w:hAnsi="Arial" w:cs="Arial"/>
          <w:color w:val="252525"/>
        </w:rPr>
        <w:br/>
        <w:t>LifeSci Advisors, LLC</w:t>
      </w:r>
      <w:r w:rsidRPr="00FD198A">
        <w:rPr>
          <w:rFonts w:ascii="Arial" w:hAnsi="Arial" w:cs="Arial"/>
          <w:color w:val="252525"/>
        </w:rPr>
        <w:br/>
      </w:r>
      <w:r w:rsidRPr="00FD198A">
        <w:rPr>
          <w:rFonts w:ascii="Arial" w:hAnsi="Arial" w:cs="Arial"/>
          <w:color w:val="252525"/>
        </w:rPr>
        <w:lastRenderedPageBreak/>
        <w:t>+1 646 970 4681</w:t>
      </w:r>
      <w:r w:rsidRPr="00FD198A">
        <w:rPr>
          <w:rFonts w:ascii="Arial" w:hAnsi="Arial" w:cs="Arial"/>
          <w:color w:val="252525"/>
        </w:rPr>
        <w:br/>
      </w:r>
      <w:hyperlink r:id="rId14" w:tgtFrame="_blank" w:history="1">
        <w:r w:rsidRPr="00FD198A">
          <w:rPr>
            <w:rFonts w:ascii="Arial" w:hAnsi="Arial" w:cs="Arial"/>
            <w:color w:val="3E9CB9"/>
            <w:u w:val="single"/>
          </w:rPr>
          <w:t>ikoffler@lifesciadvisors.com</w:t>
        </w:r>
      </w:hyperlink>
    </w:p>
    <w:sectPr w:rsidR="000468EF" w:rsidRPr="008D4DCA" w:rsidSect="001F3BB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6D9E" w14:textId="77777777" w:rsidR="001F3BBB" w:rsidRDefault="001F3BBB" w:rsidP="000468EF">
      <w:r>
        <w:separator/>
      </w:r>
    </w:p>
  </w:endnote>
  <w:endnote w:type="continuationSeparator" w:id="0">
    <w:p w14:paraId="136F41EB" w14:textId="77777777" w:rsidR="001F3BBB" w:rsidRDefault="001F3BBB" w:rsidP="000468EF">
      <w:r>
        <w:continuationSeparator/>
      </w:r>
    </w:p>
  </w:endnote>
  <w:endnote w:type="continuationNotice" w:id="1">
    <w:p w14:paraId="7F37C404" w14:textId="77777777" w:rsidR="001F3BBB" w:rsidRDefault="001F3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EA9C" w14:textId="77777777" w:rsidR="00D04BB6" w:rsidRDefault="00D04BB6" w:rsidP="00B3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7592" w14:textId="77777777" w:rsidR="001F3BBB" w:rsidRDefault="001F3BBB" w:rsidP="000468EF">
      <w:r>
        <w:separator/>
      </w:r>
    </w:p>
  </w:footnote>
  <w:footnote w:type="continuationSeparator" w:id="0">
    <w:p w14:paraId="0BE155B3" w14:textId="77777777" w:rsidR="001F3BBB" w:rsidRDefault="001F3BBB" w:rsidP="000468EF">
      <w:r>
        <w:continuationSeparator/>
      </w:r>
    </w:p>
  </w:footnote>
  <w:footnote w:type="continuationNotice" w:id="1">
    <w:p w14:paraId="6F85A31F" w14:textId="77777777" w:rsidR="001F3BBB" w:rsidRDefault="001F3BBB"/>
  </w:footnote>
  <w:footnote w:id="2">
    <w:p w14:paraId="4127C0CC" w14:textId="4E115EF1" w:rsidR="009877C8" w:rsidRDefault="009877C8">
      <w:pPr>
        <w:pStyle w:val="FootnoteText"/>
      </w:pPr>
      <w:r>
        <w:rPr>
          <w:rStyle w:val="FootnoteReference"/>
        </w:rPr>
        <w:footnoteRef/>
      </w:r>
      <w:r>
        <w:t xml:space="preserve"> </w:t>
      </w:r>
      <w:r w:rsidRPr="009877C8">
        <w:t>https://www.pnas.org/doi/10.1073/pnas.2220272120</w:t>
      </w:r>
    </w:p>
  </w:footnote>
  <w:footnote w:id="3">
    <w:p w14:paraId="4CFDBA43" w14:textId="7ABFB12F" w:rsidR="00B3417D" w:rsidRDefault="00B3417D">
      <w:pPr>
        <w:pStyle w:val="FootnoteText"/>
      </w:pPr>
      <w:r>
        <w:rPr>
          <w:rStyle w:val="FootnoteReference"/>
        </w:rPr>
        <w:footnoteRef/>
      </w:r>
      <w:r>
        <w:t xml:space="preserve"> </w:t>
      </w:r>
      <w:r w:rsidR="00366F00" w:rsidRPr="00366F00">
        <w:t>https://www.pnas.org/doi/10.1073/pnas.2309221120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0077" w14:textId="77777777" w:rsidR="00D04BB6" w:rsidRDefault="00D04BB6" w:rsidP="00B30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6ED"/>
    <w:multiLevelType w:val="hybridMultilevel"/>
    <w:tmpl w:val="89FAB420"/>
    <w:lvl w:ilvl="0" w:tplc="249E3F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16729"/>
    <w:multiLevelType w:val="multilevel"/>
    <w:tmpl w:val="D3EE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315AD"/>
    <w:multiLevelType w:val="hybridMultilevel"/>
    <w:tmpl w:val="D0BC5640"/>
    <w:lvl w:ilvl="0" w:tplc="7688E1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829749">
    <w:abstractNumId w:val="1"/>
  </w:num>
  <w:num w:numId="2" w16cid:durableId="1675693064">
    <w:abstractNumId w:val="2"/>
  </w:num>
  <w:num w:numId="3" w16cid:durableId="85388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5D"/>
    <w:rsid w:val="00004057"/>
    <w:rsid w:val="00010B97"/>
    <w:rsid w:val="00012179"/>
    <w:rsid w:val="00017DBD"/>
    <w:rsid w:val="000266F7"/>
    <w:rsid w:val="00033DA2"/>
    <w:rsid w:val="0003783F"/>
    <w:rsid w:val="00040D06"/>
    <w:rsid w:val="00046704"/>
    <w:rsid w:val="000468EF"/>
    <w:rsid w:val="000479D4"/>
    <w:rsid w:val="00051C3C"/>
    <w:rsid w:val="00067C34"/>
    <w:rsid w:val="00087793"/>
    <w:rsid w:val="00087A79"/>
    <w:rsid w:val="00087B46"/>
    <w:rsid w:val="0009755D"/>
    <w:rsid w:val="00097826"/>
    <w:rsid w:val="000D00A6"/>
    <w:rsid w:val="000F45C5"/>
    <w:rsid w:val="001018AF"/>
    <w:rsid w:val="00113CA6"/>
    <w:rsid w:val="00115EAE"/>
    <w:rsid w:val="00134AEE"/>
    <w:rsid w:val="00143139"/>
    <w:rsid w:val="001432D1"/>
    <w:rsid w:val="0015496B"/>
    <w:rsid w:val="00166B27"/>
    <w:rsid w:val="001672B4"/>
    <w:rsid w:val="00176D9B"/>
    <w:rsid w:val="00185AAD"/>
    <w:rsid w:val="001935B9"/>
    <w:rsid w:val="001B0247"/>
    <w:rsid w:val="001E77AA"/>
    <w:rsid w:val="001F3BBB"/>
    <w:rsid w:val="00210343"/>
    <w:rsid w:val="00212887"/>
    <w:rsid w:val="00221B70"/>
    <w:rsid w:val="002265F9"/>
    <w:rsid w:val="00227468"/>
    <w:rsid w:val="0024059B"/>
    <w:rsid w:val="002521BE"/>
    <w:rsid w:val="0025380F"/>
    <w:rsid w:val="00256864"/>
    <w:rsid w:val="0028029D"/>
    <w:rsid w:val="002808EF"/>
    <w:rsid w:val="0028161A"/>
    <w:rsid w:val="00285F66"/>
    <w:rsid w:val="00294C81"/>
    <w:rsid w:val="002A7D2D"/>
    <w:rsid w:val="002A7F77"/>
    <w:rsid w:val="002B64CB"/>
    <w:rsid w:val="002B7BE6"/>
    <w:rsid w:val="002C4686"/>
    <w:rsid w:val="002D184D"/>
    <w:rsid w:val="002D1943"/>
    <w:rsid w:val="002D1CAA"/>
    <w:rsid w:val="002D4CB3"/>
    <w:rsid w:val="002D6247"/>
    <w:rsid w:val="002E1DD4"/>
    <w:rsid w:val="002F06EF"/>
    <w:rsid w:val="002F3733"/>
    <w:rsid w:val="002F3768"/>
    <w:rsid w:val="002F4471"/>
    <w:rsid w:val="002F749E"/>
    <w:rsid w:val="003031E7"/>
    <w:rsid w:val="0030594C"/>
    <w:rsid w:val="00310F62"/>
    <w:rsid w:val="0031173C"/>
    <w:rsid w:val="003339A9"/>
    <w:rsid w:val="003340B6"/>
    <w:rsid w:val="00342780"/>
    <w:rsid w:val="00346F8E"/>
    <w:rsid w:val="00357DEE"/>
    <w:rsid w:val="003607F5"/>
    <w:rsid w:val="00363481"/>
    <w:rsid w:val="00366F00"/>
    <w:rsid w:val="003740E7"/>
    <w:rsid w:val="00392796"/>
    <w:rsid w:val="003A0D2F"/>
    <w:rsid w:val="003A7418"/>
    <w:rsid w:val="003B09B0"/>
    <w:rsid w:val="003B5551"/>
    <w:rsid w:val="003C1788"/>
    <w:rsid w:val="003E6E0A"/>
    <w:rsid w:val="003F2FFC"/>
    <w:rsid w:val="003F64DB"/>
    <w:rsid w:val="00422004"/>
    <w:rsid w:val="0042380A"/>
    <w:rsid w:val="004335E5"/>
    <w:rsid w:val="00453745"/>
    <w:rsid w:val="00454E00"/>
    <w:rsid w:val="00463389"/>
    <w:rsid w:val="00463DDB"/>
    <w:rsid w:val="004737DB"/>
    <w:rsid w:val="004B28B5"/>
    <w:rsid w:val="004B753F"/>
    <w:rsid w:val="004C7D5E"/>
    <w:rsid w:val="004D476E"/>
    <w:rsid w:val="004E4E28"/>
    <w:rsid w:val="00502D57"/>
    <w:rsid w:val="00502EFD"/>
    <w:rsid w:val="00505669"/>
    <w:rsid w:val="0050658D"/>
    <w:rsid w:val="00534E92"/>
    <w:rsid w:val="005436D4"/>
    <w:rsid w:val="005651CA"/>
    <w:rsid w:val="00593789"/>
    <w:rsid w:val="005D0EC8"/>
    <w:rsid w:val="005D3AFC"/>
    <w:rsid w:val="005E3F03"/>
    <w:rsid w:val="005E69A7"/>
    <w:rsid w:val="005F0D0A"/>
    <w:rsid w:val="0060503B"/>
    <w:rsid w:val="0060610F"/>
    <w:rsid w:val="00623466"/>
    <w:rsid w:val="0062744A"/>
    <w:rsid w:val="00631BD9"/>
    <w:rsid w:val="006358EA"/>
    <w:rsid w:val="006536FA"/>
    <w:rsid w:val="006553ED"/>
    <w:rsid w:val="006615B5"/>
    <w:rsid w:val="00665099"/>
    <w:rsid w:val="00672829"/>
    <w:rsid w:val="00672A07"/>
    <w:rsid w:val="00684579"/>
    <w:rsid w:val="006901BD"/>
    <w:rsid w:val="006B4D38"/>
    <w:rsid w:val="006C40FA"/>
    <w:rsid w:val="006D010A"/>
    <w:rsid w:val="006E55DA"/>
    <w:rsid w:val="006E7494"/>
    <w:rsid w:val="006E76C1"/>
    <w:rsid w:val="006F3D69"/>
    <w:rsid w:val="006F7393"/>
    <w:rsid w:val="00702ACA"/>
    <w:rsid w:val="00703420"/>
    <w:rsid w:val="00710953"/>
    <w:rsid w:val="00715973"/>
    <w:rsid w:val="0072280B"/>
    <w:rsid w:val="007366D5"/>
    <w:rsid w:val="007479EB"/>
    <w:rsid w:val="00754EC8"/>
    <w:rsid w:val="00760FA5"/>
    <w:rsid w:val="00765003"/>
    <w:rsid w:val="00777918"/>
    <w:rsid w:val="00784260"/>
    <w:rsid w:val="00791244"/>
    <w:rsid w:val="00792E02"/>
    <w:rsid w:val="007A698D"/>
    <w:rsid w:val="007B1CBE"/>
    <w:rsid w:val="007B1CCF"/>
    <w:rsid w:val="007C4814"/>
    <w:rsid w:val="007D31E5"/>
    <w:rsid w:val="007D3BD4"/>
    <w:rsid w:val="007E61CE"/>
    <w:rsid w:val="007F14AD"/>
    <w:rsid w:val="007F435B"/>
    <w:rsid w:val="00800D31"/>
    <w:rsid w:val="008200C6"/>
    <w:rsid w:val="00822838"/>
    <w:rsid w:val="00822928"/>
    <w:rsid w:val="0084229C"/>
    <w:rsid w:val="00843310"/>
    <w:rsid w:val="00845E48"/>
    <w:rsid w:val="008538B9"/>
    <w:rsid w:val="00872FFF"/>
    <w:rsid w:val="008763A4"/>
    <w:rsid w:val="00882794"/>
    <w:rsid w:val="008901B8"/>
    <w:rsid w:val="00891B3A"/>
    <w:rsid w:val="00897447"/>
    <w:rsid w:val="008A46ED"/>
    <w:rsid w:val="008B0033"/>
    <w:rsid w:val="008B352A"/>
    <w:rsid w:val="008C1A9C"/>
    <w:rsid w:val="008C4657"/>
    <w:rsid w:val="008C5D0E"/>
    <w:rsid w:val="008D4DCA"/>
    <w:rsid w:val="008D774B"/>
    <w:rsid w:val="008F0ECE"/>
    <w:rsid w:val="008F1124"/>
    <w:rsid w:val="008F4A41"/>
    <w:rsid w:val="008F6FFE"/>
    <w:rsid w:val="00901F3A"/>
    <w:rsid w:val="00904B91"/>
    <w:rsid w:val="00912AF2"/>
    <w:rsid w:val="00913742"/>
    <w:rsid w:val="009138DD"/>
    <w:rsid w:val="00927196"/>
    <w:rsid w:val="009274FB"/>
    <w:rsid w:val="00937515"/>
    <w:rsid w:val="009478B8"/>
    <w:rsid w:val="00951991"/>
    <w:rsid w:val="00973DBF"/>
    <w:rsid w:val="009877C8"/>
    <w:rsid w:val="009912F7"/>
    <w:rsid w:val="009A05D8"/>
    <w:rsid w:val="009A540F"/>
    <w:rsid w:val="009C0FAF"/>
    <w:rsid w:val="009C22C6"/>
    <w:rsid w:val="009D37AC"/>
    <w:rsid w:val="009D3FD1"/>
    <w:rsid w:val="009E6153"/>
    <w:rsid w:val="009F5BC6"/>
    <w:rsid w:val="00A0071A"/>
    <w:rsid w:val="00A10CF7"/>
    <w:rsid w:val="00A12F5C"/>
    <w:rsid w:val="00A254EF"/>
    <w:rsid w:val="00A30E49"/>
    <w:rsid w:val="00A367FE"/>
    <w:rsid w:val="00A3764F"/>
    <w:rsid w:val="00A4180F"/>
    <w:rsid w:val="00A42EB9"/>
    <w:rsid w:val="00A4435B"/>
    <w:rsid w:val="00A45189"/>
    <w:rsid w:val="00A53BE2"/>
    <w:rsid w:val="00A615B4"/>
    <w:rsid w:val="00A67F04"/>
    <w:rsid w:val="00A71855"/>
    <w:rsid w:val="00A727B4"/>
    <w:rsid w:val="00A73F56"/>
    <w:rsid w:val="00A74FBF"/>
    <w:rsid w:val="00A76608"/>
    <w:rsid w:val="00A8254C"/>
    <w:rsid w:val="00AA1DCD"/>
    <w:rsid w:val="00AB1248"/>
    <w:rsid w:val="00AB3FB9"/>
    <w:rsid w:val="00AD2CF8"/>
    <w:rsid w:val="00AE3D61"/>
    <w:rsid w:val="00AE6200"/>
    <w:rsid w:val="00AF2E0C"/>
    <w:rsid w:val="00AF6D2B"/>
    <w:rsid w:val="00B00097"/>
    <w:rsid w:val="00B010A4"/>
    <w:rsid w:val="00B157E6"/>
    <w:rsid w:val="00B25604"/>
    <w:rsid w:val="00B26A14"/>
    <w:rsid w:val="00B271BF"/>
    <w:rsid w:val="00B304E0"/>
    <w:rsid w:val="00B3417D"/>
    <w:rsid w:val="00B35648"/>
    <w:rsid w:val="00B50CF6"/>
    <w:rsid w:val="00B5605D"/>
    <w:rsid w:val="00B57D7D"/>
    <w:rsid w:val="00B602D1"/>
    <w:rsid w:val="00B65588"/>
    <w:rsid w:val="00B75306"/>
    <w:rsid w:val="00B85923"/>
    <w:rsid w:val="00B9370A"/>
    <w:rsid w:val="00BB3895"/>
    <w:rsid w:val="00BC4CFF"/>
    <w:rsid w:val="00BD2520"/>
    <w:rsid w:val="00BE0C5D"/>
    <w:rsid w:val="00BE7145"/>
    <w:rsid w:val="00C027E6"/>
    <w:rsid w:val="00C20DA3"/>
    <w:rsid w:val="00C22364"/>
    <w:rsid w:val="00C233CD"/>
    <w:rsid w:val="00C438C0"/>
    <w:rsid w:val="00C4454F"/>
    <w:rsid w:val="00C561ED"/>
    <w:rsid w:val="00C61781"/>
    <w:rsid w:val="00C71FB2"/>
    <w:rsid w:val="00C75CC0"/>
    <w:rsid w:val="00C901CE"/>
    <w:rsid w:val="00C91409"/>
    <w:rsid w:val="00C9649A"/>
    <w:rsid w:val="00CC5416"/>
    <w:rsid w:val="00CD2427"/>
    <w:rsid w:val="00CD4B2B"/>
    <w:rsid w:val="00CD7A32"/>
    <w:rsid w:val="00CE6E81"/>
    <w:rsid w:val="00CF0CD5"/>
    <w:rsid w:val="00CF4B89"/>
    <w:rsid w:val="00CF6E53"/>
    <w:rsid w:val="00D04BB6"/>
    <w:rsid w:val="00D067F8"/>
    <w:rsid w:val="00D100CB"/>
    <w:rsid w:val="00D10AA4"/>
    <w:rsid w:val="00D116A6"/>
    <w:rsid w:val="00D24736"/>
    <w:rsid w:val="00D27DA6"/>
    <w:rsid w:val="00D3444F"/>
    <w:rsid w:val="00D36B7A"/>
    <w:rsid w:val="00D43CBE"/>
    <w:rsid w:val="00D46AA5"/>
    <w:rsid w:val="00D61199"/>
    <w:rsid w:val="00D6473F"/>
    <w:rsid w:val="00D67B7D"/>
    <w:rsid w:val="00D81452"/>
    <w:rsid w:val="00D81E28"/>
    <w:rsid w:val="00D862CE"/>
    <w:rsid w:val="00D9556D"/>
    <w:rsid w:val="00D9673C"/>
    <w:rsid w:val="00DA01C1"/>
    <w:rsid w:val="00DA5CF3"/>
    <w:rsid w:val="00DA60AC"/>
    <w:rsid w:val="00DB1B48"/>
    <w:rsid w:val="00DB3B6F"/>
    <w:rsid w:val="00DB7474"/>
    <w:rsid w:val="00DB7BFD"/>
    <w:rsid w:val="00DC3732"/>
    <w:rsid w:val="00DD0C6A"/>
    <w:rsid w:val="00DE04F4"/>
    <w:rsid w:val="00DE55A8"/>
    <w:rsid w:val="00E00C36"/>
    <w:rsid w:val="00E010F2"/>
    <w:rsid w:val="00E02778"/>
    <w:rsid w:val="00E02B5A"/>
    <w:rsid w:val="00E069DE"/>
    <w:rsid w:val="00E11081"/>
    <w:rsid w:val="00E27FBD"/>
    <w:rsid w:val="00E31EDD"/>
    <w:rsid w:val="00E3580E"/>
    <w:rsid w:val="00E4526E"/>
    <w:rsid w:val="00E51947"/>
    <w:rsid w:val="00E53911"/>
    <w:rsid w:val="00E637E3"/>
    <w:rsid w:val="00E665CA"/>
    <w:rsid w:val="00E75C0B"/>
    <w:rsid w:val="00EA6F6A"/>
    <w:rsid w:val="00EB1D88"/>
    <w:rsid w:val="00EB2DB7"/>
    <w:rsid w:val="00EB2EE8"/>
    <w:rsid w:val="00EE19F1"/>
    <w:rsid w:val="00F07BD2"/>
    <w:rsid w:val="00F1349D"/>
    <w:rsid w:val="00F15A09"/>
    <w:rsid w:val="00F21AED"/>
    <w:rsid w:val="00F23B36"/>
    <w:rsid w:val="00F3122D"/>
    <w:rsid w:val="00F413EE"/>
    <w:rsid w:val="00F4147D"/>
    <w:rsid w:val="00F4336A"/>
    <w:rsid w:val="00F4484A"/>
    <w:rsid w:val="00F45826"/>
    <w:rsid w:val="00F516BB"/>
    <w:rsid w:val="00F53D32"/>
    <w:rsid w:val="00F547FD"/>
    <w:rsid w:val="00F55D83"/>
    <w:rsid w:val="00F65382"/>
    <w:rsid w:val="00F7599C"/>
    <w:rsid w:val="00F86129"/>
    <w:rsid w:val="00F94167"/>
    <w:rsid w:val="00F94F05"/>
    <w:rsid w:val="00FA17BC"/>
    <w:rsid w:val="00FA1B5B"/>
    <w:rsid w:val="00FA629E"/>
    <w:rsid w:val="00FB108D"/>
    <w:rsid w:val="00FB4969"/>
    <w:rsid w:val="00FB6013"/>
    <w:rsid w:val="00FC04CB"/>
    <w:rsid w:val="00FC0CB8"/>
    <w:rsid w:val="00FC0FC8"/>
    <w:rsid w:val="00FD198A"/>
    <w:rsid w:val="00FE5B05"/>
    <w:rsid w:val="00FF213D"/>
    <w:rsid w:val="00FF4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47B9"/>
  <w15:chartTrackingRefBased/>
  <w15:docId w15:val="{32AC7883-4C07-4DD2-9CA2-224DBBA7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E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55D"/>
    <w:pPr>
      <w:spacing w:before="100" w:beforeAutospacing="1" w:after="100" w:afterAutospacing="1"/>
    </w:pPr>
  </w:style>
  <w:style w:type="character" w:styleId="Hyperlink">
    <w:name w:val="Hyperlink"/>
    <w:basedOn w:val="DefaultParagraphFont"/>
    <w:uiPriority w:val="99"/>
    <w:unhideWhenUsed/>
    <w:rsid w:val="000468EF"/>
    <w:rPr>
      <w:color w:val="0000FF"/>
      <w:u w:val="single"/>
    </w:rPr>
  </w:style>
  <w:style w:type="paragraph" w:styleId="FootnoteText">
    <w:name w:val="footnote text"/>
    <w:basedOn w:val="Normal"/>
    <w:link w:val="FootnoteTextChar"/>
    <w:uiPriority w:val="99"/>
    <w:semiHidden/>
    <w:unhideWhenUsed/>
    <w:rsid w:val="000468E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468EF"/>
    <w:rPr>
      <w:kern w:val="0"/>
      <w:sz w:val="20"/>
      <w:szCs w:val="20"/>
      <w14:ligatures w14:val="none"/>
    </w:rPr>
  </w:style>
  <w:style w:type="character" w:styleId="FootnoteReference">
    <w:name w:val="footnote reference"/>
    <w:basedOn w:val="DefaultParagraphFont"/>
    <w:uiPriority w:val="99"/>
    <w:semiHidden/>
    <w:unhideWhenUsed/>
    <w:rsid w:val="000468EF"/>
    <w:rPr>
      <w:vertAlign w:val="superscript"/>
    </w:rPr>
  </w:style>
  <w:style w:type="character" w:styleId="CommentReference">
    <w:name w:val="annotation reference"/>
    <w:basedOn w:val="DefaultParagraphFont"/>
    <w:uiPriority w:val="99"/>
    <w:semiHidden/>
    <w:unhideWhenUsed/>
    <w:rsid w:val="000468EF"/>
    <w:rPr>
      <w:sz w:val="16"/>
      <w:szCs w:val="16"/>
    </w:rPr>
  </w:style>
  <w:style w:type="paragraph" w:styleId="CommentText">
    <w:name w:val="annotation text"/>
    <w:basedOn w:val="Normal"/>
    <w:link w:val="CommentTextChar"/>
    <w:uiPriority w:val="99"/>
    <w:unhideWhenUsed/>
    <w:rsid w:val="000468E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468EF"/>
    <w:rPr>
      <w:kern w:val="0"/>
      <w:sz w:val="20"/>
      <w:szCs w:val="20"/>
      <w14:ligatures w14:val="none"/>
    </w:rPr>
  </w:style>
  <w:style w:type="character" w:customStyle="1" w:styleId="cf01">
    <w:name w:val="cf01"/>
    <w:basedOn w:val="DefaultParagraphFont"/>
    <w:rsid w:val="000468EF"/>
    <w:rPr>
      <w:rFonts w:ascii="Segoe UI" w:hAnsi="Segoe UI" w:cs="Segoe UI" w:hint="default"/>
      <w:color w:val="4A4A4A"/>
      <w:sz w:val="18"/>
      <w:szCs w:val="18"/>
    </w:rPr>
  </w:style>
  <w:style w:type="character" w:customStyle="1" w:styleId="cf11">
    <w:name w:val="cf11"/>
    <w:basedOn w:val="DefaultParagraphFont"/>
    <w:rsid w:val="000468EF"/>
    <w:rPr>
      <w:rFonts w:ascii="Segoe UI" w:hAnsi="Segoe UI" w:cs="Segoe UI" w:hint="default"/>
      <w:sz w:val="18"/>
      <w:szCs w:val="18"/>
    </w:rPr>
  </w:style>
  <w:style w:type="character" w:styleId="UnresolvedMention">
    <w:name w:val="Unresolved Mention"/>
    <w:basedOn w:val="DefaultParagraphFont"/>
    <w:uiPriority w:val="99"/>
    <w:semiHidden/>
    <w:unhideWhenUsed/>
    <w:rsid w:val="000468EF"/>
    <w:rPr>
      <w:color w:val="605E5C"/>
      <w:shd w:val="clear" w:color="auto" w:fill="E1DFDD"/>
    </w:rPr>
  </w:style>
  <w:style w:type="paragraph" w:styleId="EndnoteText">
    <w:name w:val="endnote text"/>
    <w:basedOn w:val="Normal"/>
    <w:link w:val="EndnoteTextChar"/>
    <w:uiPriority w:val="99"/>
    <w:semiHidden/>
    <w:unhideWhenUsed/>
    <w:rsid w:val="009877C8"/>
    <w:rPr>
      <w:sz w:val="20"/>
      <w:szCs w:val="20"/>
    </w:rPr>
  </w:style>
  <w:style w:type="character" w:customStyle="1" w:styleId="EndnoteTextChar">
    <w:name w:val="Endnote Text Char"/>
    <w:basedOn w:val="DefaultParagraphFont"/>
    <w:link w:val="EndnoteText"/>
    <w:uiPriority w:val="99"/>
    <w:semiHidden/>
    <w:rsid w:val="009877C8"/>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9877C8"/>
    <w:rPr>
      <w:vertAlign w:val="superscript"/>
    </w:rPr>
  </w:style>
  <w:style w:type="paragraph" w:styleId="Revision">
    <w:name w:val="Revision"/>
    <w:hidden/>
    <w:uiPriority w:val="99"/>
    <w:semiHidden/>
    <w:rsid w:val="00702ACA"/>
    <w:pPr>
      <w:spacing w:after="0" w:line="240" w:lineRule="auto"/>
    </w:pPr>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C71FB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71FB2"/>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D04BB6"/>
    <w:pPr>
      <w:tabs>
        <w:tab w:val="center" w:pos="4680"/>
        <w:tab w:val="right" w:pos="9360"/>
      </w:tabs>
    </w:pPr>
  </w:style>
  <w:style w:type="character" w:customStyle="1" w:styleId="HeaderChar">
    <w:name w:val="Header Char"/>
    <w:basedOn w:val="DefaultParagraphFont"/>
    <w:link w:val="Header"/>
    <w:uiPriority w:val="99"/>
    <w:rsid w:val="00D04BB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D04BB6"/>
    <w:pPr>
      <w:tabs>
        <w:tab w:val="center" w:pos="4680"/>
        <w:tab w:val="right" w:pos="9360"/>
      </w:tabs>
    </w:pPr>
  </w:style>
  <w:style w:type="character" w:customStyle="1" w:styleId="FooterChar">
    <w:name w:val="Footer Char"/>
    <w:basedOn w:val="DefaultParagraphFont"/>
    <w:link w:val="Footer"/>
    <w:uiPriority w:val="99"/>
    <w:rsid w:val="00D04BB6"/>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D04BB6"/>
    <w:pPr>
      <w:ind w:left="720"/>
      <w:contextualSpacing/>
    </w:pPr>
  </w:style>
  <w:style w:type="character" w:styleId="Strong">
    <w:name w:val="Strong"/>
    <w:basedOn w:val="DefaultParagraphFont"/>
    <w:uiPriority w:val="22"/>
    <w:qFormat/>
    <w:rsid w:val="00F31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5806">
      <w:bodyDiv w:val="1"/>
      <w:marLeft w:val="0"/>
      <w:marRight w:val="0"/>
      <w:marTop w:val="0"/>
      <w:marBottom w:val="0"/>
      <w:divBdr>
        <w:top w:val="none" w:sz="0" w:space="0" w:color="auto"/>
        <w:left w:val="none" w:sz="0" w:space="0" w:color="auto"/>
        <w:bottom w:val="none" w:sz="0" w:space="0" w:color="auto"/>
        <w:right w:val="none" w:sz="0" w:space="0" w:color="auto"/>
      </w:divBdr>
      <w:divsChild>
        <w:div w:id="846820989">
          <w:marLeft w:val="0"/>
          <w:marRight w:val="0"/>
          <w:marTop w:val="0"/>
          <w:marBottom w:val="0"/>
          <w:divBdr>
            <w:top w:val="none" w:sz="0" w:space="0" w:color="auto"/>
            <w:left w:val="none" w:sz="0" w:space="0" w:color="auto"/>
            <w:bottom w:val="none" w:sz="0" w:space="0" w:color="auto"/>
            <w:right w:val="none" w:sz="0" w:space="0" w:color="auto"/>
          </w:divBdr>
        </w:div>
      </w:divsChild>
    </w:div>
    <w:div w:id="1342466479">
      <w:bodyDiv w:val="1"/>
      <w:marLeft w:val="0"/>
      <w:marRight w:val="0"/>
      <w:marTop w:val="0"/>
      <w:marBottom w:val="0"/>
      <w:divBdr>
        <w:top w:val="none" w:sz="0" w:space="0" w:color="auto"/>
        <w:left w:val="none" w:sz="0" w:space="0" w:color="auto"/>
        <w:bottom w:val="none" w:sz="0" w:space="0" w:color="auto"/>
        <w:right w:val="none" w:sz="0" w:space="0" w:color="auto"/>
      </w:divBdr>
    </w:div>
    <w:div w:id="1392997171">
      <w:bodyDiv w:val="1"/>
      <w:marLeft w:val="0"/>
      <w:marRight w:val="0"/>
      <w:marTop w:val="0"/>
      <w:marBottom w:val="0"/>
      <w:divBdr>
        <w:top w:val="none" w:sz="0" w:space="0" w:color="auto"/>
        <w:left w:val="none" w:sz="0" w:space="0" w:color="auto"/>
        <w:bottom w:val="none" w:sz="0" w:space="0" w:color="auto"/>
        <w:right w:val="none" w:sz="0" w:space="0" w:color="auto"/>
      </w:divBdr>
    </w:div>
    <w:div w:id="1406606938">
      <w:bodyDiv w:val="1"/>
      <w:marLeft w:val="0"/>
      <w:marRight w:val="0"/>
      <w:marTop w:val="0"/>
      <w:marBottom w:val="0"/>
      <w:divBdr>
        <w:top w:val="none" w:sz="0" w:space="0" w:color="auto"/>
        <w:left w:val="none" w:sz="0" w:space="0" w:color="auto"/>
        <w:bottom w:val="none" w:sz="0" w:space="0" w:color="auto"/>
        <w:right w:val="none" w:sz="0" w:space="0" w:color="auto"/>
      </w:divBdr>
    </w:div>
    <w:div w:id="14863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obenewswire.com/Tracker?data=f4spJHxlilhoRca2S0j1b6e5ytIsgFNq2Ru0jcyn6xIeTgJIoXTsnNAkbK8VVPb__QVXTCRwAWYUq0uLLGY6M5RQt8GToO88wRUUu62TaUkdAsbvXgJlrEVJvnT4bv52F2D0MHN9GJJCy13A206X01_DIChkdbdkFcaFFlNlRUr_jyX10QevuKmoPW-_AxfEKYq-_wrIhInJ6imk29thfjtGoedLW9RRvOMXsJRzdRlpHMWcunieH45SWX7653vuwF7R5krP3_PBXRc8VRFweTcwn1e4UPTIWKzjRx48f9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sdaq.com/market-activity/stocks/tlsa/real-ti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lobenewswire.com/NewsRoom/AttachmentNg/991c340c-a083-4bcb-ad41-e7eea83f6f9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obenewswire.com/Tracker?data=N6a9xr1OA_RZosocA556JzRqWFrT8fj_MHJ6OtXYE8LlOf4ioHhFF41os30FgXtnOyv-wCiW3Jrl4JNLY6coMGlky2JwW52cHI5css4VhmewNnE9w8XUHPPPALAcpq-GAH4SNnU1OFhSctqW41nwND9eqQ_7DK-a4LBmNCYAYrDYjZX-yI_jXRtG5xsoJlsKHPY246JSn3z4VpR8IOA3RRf0Hy13mKGipuCOI8lTNCrkrCV8_lZrdflVizQNZ5Nj6Z7iYYJ5e8DmFPg-EeMiNsQ1WCcC14zHhY5o5Brm9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B9BB7C0190B8449636C49553288D31" ma:contentTypeVersion="17" ma:contentTypeDescription="Create a new document." ma:contentTypeScope="" ma:versionID="ccd0a06920a55e900d98e6e416770f23">
  <xsd:schema xmlns:xsd="http://www.w3.org/2001/XMLSchema" xmlns:xs="http://www.w3.org/2001/XMLSchema" xmlns:p="http://schemas.microsoft.com/office/2006/metadata/properties" xmlns:ns2="65651ce9-800c-4202-be04-899492c77865" xmlns:ns3="53303810-8146-4cf3-bda7-4a07d60d6ed7" targetNamespace="http://schemas.microsoft.com/office/2006/metadata/properties" ma:root="true" ma:fieldsID="a52aab5c8a8c574e2d475842543981e0" ns2:_="" ns3:_="">
    <xsd:import namespace="65651ce9-800c-4202-be04-899492c77865"/>
    <xsd:import namespace="53303810-8146-4cf3-bda7-4a07d60d6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51ce9-800c-4202-be04-899492c77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26c0cc-8e6a-406f-86b1-508aac2fd9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03810-8146-4cf3-bda7-4a07d60d6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eb30b7-8b26-400d-ac70-b041431b2364}" ma:internalName="TaxCatchAll" ma:showField="CatchAllData" ma:web="53303810-8146-4cf3-bda7-4a07d60d6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BF71F-8472-45E1-9181-896A0EFB13F7}">
  <ds:schemaRefs>
    <ds:schemaRef ds:uri="http://schemas.openxmlformats.org/officeDocument/2006/bibliography"/>
  </ds:schemaRefs>
</ds:datastoreItem>
</file>

<file path=customXml/itemProps2.xml><?xml version="1.0" encoding="utf-8"?>
<ds:datastoreItem xmlns:ds="http://schemas.openxmlformats.org/officeDocument/2006/customXml" ds:itemID="{98200E16-BA0F-4806-8C42-B8B053673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51ce9-800c-4202-be04-899492c77865"/>
    <ds:schemaRef ds:uri="53303810-8146-4cf3-bda7-4a07d60d6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D5599-A0FD-41A7-8F17-8AE861E67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Dory Kurowski</dc:creator>
  <cp:keywords/>
  <dc:description/>
  <cp:lastModifiedBy>Paul Spencer</cp:lastModifiedBy>
  <cp:revision>3</cp:revision>
  <cp:lastPrinted>2023-08-28T23:46:00Z</cp:lastPrinted>
  <dcterms:created xsi:type="dcterms:W3CDTF">2024-03-05T09:53:00Z</dcterms:created>
  <dcterms:modified xsi:type="dcterms:W3CDTF">2024-03-05T09:53:00Z</dcterms:modified>
</cp:coreProperties>
</file>